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color w:val="16689D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6689D"/>
          <w:spacing w:val="0"/>
          <w:sz w:val="36"/>
          <w:szCs w:val="36"/>
          <w:bdr w:val="none" w:color="auto" w:sz="0" w:space="0"/>
        </w:rPr>
        <w:t>2021年卢氏县事业单位公开招聘未达到差额开考比例岗位情况公示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57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发布时间:2021-06-05查阅次数:143来源:人社局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根据《2021年卢氏县事业单位公开招聘工作人员实施方案》，现将截止6月5日中午12:00报名人员未达到差额开考比例的岗位公示如下：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drawing>
          <wp:inline distT="0" distB="0" distL="114300" distR="114300">
            <wp:extent cx="15116175" cy="5915025"/>
            <wp:effectExtent l="0" t="0" r="9525" b="9525"/>
            <wp:docPr id="1" name="图片 1" descr="职位统计20210605111421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职位统计20210605111421_00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16175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C0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2021-06-05T06:45:07Z</dcterms:created>
  <dc:creator>Administrator</dc:creator>
  <cp:lastModifiedBy>Administrator</cp:lastModifiedBy>
  <dcterms:modified xsi:type="dcterms:W3CDTF">2021-06-05T06:45:13Z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87C7D1A729AC449BA39E9A837E9B96AA</vt:lpwstr>
  </property>
</Properties>
</file>