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fldChar w:fldCharType="begin"/>
      </w:r>
      <w:r>
        <w:instrText xml:space="preserve"> HYPERLINK "http://www.hnrs.gov.cn/sydwgg/gkzp/56-1.htm" </w:instrText>
      </w:r>
      <w:r>
        <w:fldChar w:fldCharType="separate"/>
      </w:r>
      <w:r>
        <w:rPr>
          <w:rStyle w:val="4"/>
          <w:rFonts w:hint="eastAsia" w:ascii="方正小标宋简体" w:eastAsia="方正小标宋简体"/>
          <w:b/>
          <w:color w:val="auto"/>
          <w:sz w:val="44"/>
          <w:szCs w:val="44"/>
          <w:u w:val="none"/>
        </w:rPr>
        <w:t>河南工业和信息化职业学院</w:t>
      </w:r>
      <w:r>
        <w:rPr>
          <w:rFonts w:hint="eastAsia" w:ascii="方正小标宋简体" w:eastAsia="方正小标宋简体"/>
          <w:b/>
          <w:color w:val="auto"/>
          <w:sz w:val="44"/>
          <w:szCs w:val="44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center"/>
        <w:textAlignment w:val="auto"/>
        <w:rPr>
          <w:rStyle w:val="4"/>
          <w:rFonts w:ascii="方正小标宋简体" w:eastAsia="方正小标宋简体"/>
          <w:b/>
          <w:color w:val="auto"/>
          <w:sz w:val="44"/>
          <w:szCs w:val="44"/>
          <w:u w:val="none"/>
        </w:rPr>
      </w:pPr>
      <w:bookmarkStart w:id="0" w:name="_GoBack"/>
      <w:r>
        <w:rPr>
          <w:rStyle w:val="4"/>
          <w:rFonts w:hint="eastAsia" w:ascii="方正小标宋简体" w:eastAsia="方正小标宋简体"/>
          <w:b/>
          <w:color w:val="auto"/>
          <w:sz w:val="44"/>
          <w:szCs w:val="44"/>
          <w:u w:val="none"/>
        </w:rPr>
        <w:t>20</w:t>
      </w:r>
      <w:r>
        <w:rPr>
          <w:rStyle w:val="4"/>
          <w:rFonts w:hint="eastAsia" w:ascii="方正小标宋简体" w:eastAsia="方正小标宋简体"/>
          <w:b/>
          <w:color w:val="auto"/>
          <w:sz w:val="44"/>
          <w:szCs w:val="44"/>
          <w:u w:val="none"/>
          <w:lang w:val="en-US" w:eastAsia="zh-CN"/>
        </w:rPr>
        <w:t>20</w:t>
      </w:r>
      <w:r>
        <w:rPr>
          <w:rStyle w:val="4"/>
          <w:rFonts w:hint="eastAsia" w:ascii="方正小标宋简体" w:eastAsia="方正小标宋简体"/>
          <w:b/>
          <w:color w:val="auto"/>
          <w:sz w:val="44"/>
          <w:szCs w:val="44"/>
          <w:u w:val="none"/>
        </w:rPr>
        <w:t>年招聘人事代理</w:t>
      </w:r>
      <w:r>
        <w:rPr>
          <w:rStyle w:val="4"/>
          <w:rFonts w:hint="eastAsia" w:ascii="方正小标宋简体" w:eastAsia="方正小标宋简体"/>
          <w:b/>
          <w:color w:val="auto"/>
          <w:sz w:val="44"/>
          <w:szCs w:val="44"/>
          <w:u w:val="none"/>
          <w:lang w:val="en-US" w:eastAsia="zh-CN"/>
        </w:rPr>
        <w:t>人员岗位及要求一览表</w:t>
      </w:r>
    </w:p>
    <w:bookmarkEnd w:id="0"/>
    <w:tbl>
      <w:tblPr>
        <w:tblStyle w:val="2"/>
        <w:tblW w:w="10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282"/>
        <w:gridCol w:w="885"/>
        <w:gridCol w:w="2670"/>
        <w:gridCol w:w="3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招聘单位</w:t>
            </w:r>
          </w:p>
        </w:tc>
        <w:tc>
          <w:tcPr>
            <w:tcW w:w="9263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河南工业和信息化职业学院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招聘岗位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招聘专业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及年龄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要求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149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体育教育或运动训练（体育舞蹈或健美操专项）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本科及以上，28岁以下（1992年1月1日后出生）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二级运动员及以上，限女性，因兼任体育部辅导员，须入住女生宿舍。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  <w:jc w:val="center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运动训练（乒乓球专项）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本科及以上，28岁以下（1992年1月1日后出生）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二级运动员及以上。限男性，因兼任体育部辅导员，须入住男生宿舍。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一般管理人员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食品质量与安全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本科及以上，28岁以下（1992年1月1日后出生）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4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22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本科及以上，28岁以下（1992年1月1日后出生）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限男性，须入住男生宿舍。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本科及以上，28岁以下（1992年1月1日后出生）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限女性，须入住女生宿舍。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C6A3B"/>
    <w:rsid w:val="507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2020-09-24T09:07:00Z</dcterms:created>
  <dc:creator>Administrator</dc:creator>
  <cp:lastModifiedBy>Administrator</cp:lastModifiedBy>
  <dcterms:modified xsi:type="dcterms:W3CDTF">2020-09-24T09:51:39Z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